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none" w:color="FFFFFF" w:sz="0"/>
              <w:left w:val="single" w:color="F26B1D" w:sz="20"/>
              <w:bottom w:val="none" w:color="FFFFFF" w:sz="0"/>
              <w:right w:val="none" w:color="FFFFFF" w:sz="0"/>
            </w:tcBorders>
            <w:shd w:fill="F2F2F2" w:val="clear"/>
            <w:tcMar>
              <w:top w:type="dxa" w:w="160"/>
              <w:left w:type="dxa" w:w="240"/>
              <w:bottom w:type="dxa" w:w="160"/>
              <w:right w:type="dxa" w:w="240"/>
            </w:tcMar>
          </w:tcPr>
          <w:p>
            <w:r>
              <w:rPr>
                <w:rFonts w:ascii="Arial" w:cs="Arial" w:eastAsia="Arial" w:hAnsi="Arial"/>
                <w:b/>
                <w:bCs/>
                <w:color w:val="1A1A1A"/>
                <w:sz w:val="40"/>
                <w:szCs w:val="40"/>
              </w:rPr>
              <w:t xml:space="preserve">Subcontractor Agreement</w:t>
            </w:r>
          </w:p>
          <w:p>
            <w:r>
              <w:rPr>
                <w:rFonts w:ascii="Arial" w:cs="Arial" w:eastAsia="Arial" w:hAnsi="Arial"/>
                <w:color w:val="3A3F47"/>
                <w:sz w:val="22"/>
                <w:szCs w:val="22"/>
              </w:rPr>
              <w:t xml:space="preserve">Plain-English Contract for ABN-Based Engagement — Residential Construction</w:t>
            </w:r>
          </w:p>
          <w:p>
            <w:pPr>
              <w:spacing w:before="80"/>
            </w:pPr>
            <w:r>
              <w:rPr>
                <w:rFonts w:ascii="Arial" w:cs="Arial" w:eastAsia="Arial" w:hAnsi="Arial"/>
                <w:color w:val="888888"/>
                <w:sz w:val="18"/>
                <w:szCs w:val="18"/>
              </w:rPr>
              <w:t xml:space="preserve">Doc No: G5-AGR-016  |  Version: 1.0  |  Issue: May 2026</w:t>
            </w:r>
          </w:p>
        </w:tc>
      </w:tr>
    </w:tbl>
    <w:p>
      <w:pPr>
        <w:spacing w:after="120" w:before="120"/>
      </w:pPr>
      <w:r>
        <w:t xml:space="preserve"/>
      </w:r>
    </w:p>
    <w:p>
      <w:pPr>
        <w:spacing w:after="60" w:before="60"/>
        <w:jc w:val="left"/>
      </w:pPr>
      <w:r>
        <w:rPr>
          <w:rFonts w:ascii="Arial" w:cs="Arial" w:eastAsia="Arial" w:hAnsi="Arial"/>
          <w:b w:val="false"/>
          <w:bCs w:val="false"/>
          <w:i/>
          <w:iCs/>
          <w:color w:val="CC0000"/>
          <w:sz w:val="18"/>
          <w:szCs w:val="18"/>
        </w:rPr>
        <w:t xml:space="preserve">IMPORTANT: This agreement is a professional template. It does not constitute legal advice. Consult a solicitor for complex engagements or high-value contracts.</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PARTIES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200"/>
        <w:gridCol w:w="5826"/>
      </w:tblGrid>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Principal Contractor (Builder)</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ABN</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Builder Licence No.</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Address</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Contact Name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Phone / Email</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bl>
    <w:p>
      <w:pPr>
        <w:spacing w:after="120" w:before="12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200"/>
        <w:gridCol w:w="5826"/>
      </w:tblGrid>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Subcontractor (Trading Name)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ABN</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Licence No. (if applicable)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Address</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Contact Name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Phone / Email</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PROJECT DETAILS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200"/>
        <w:gridCol w:w="5826"/>
      </w:tblGrid>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Site Address</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Description of Works</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Estimated Start Date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Estimated Completion Date</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Contract Price (excl. GST)</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w:t>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GST (10%)</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w:t>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Total Contract Price (incl. GST)</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w:t>
            </w:r>
          </w:p>
        </w:tc>
      </w:tr>
      <w:tr>
        <w:tc>
          <w:tcPr>
            <w:tcW w:type="dxa" w:w="32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tcPr>
          <w:p>
            <w:r>
              <w:rPr>
                <w:rFonts w:ascii="Arial" w:cs="Arial" w:eastAsia="Arial" w:hAnsi="Arial"/>
                <w:b/>
                <w:bCs/>
                <w:color w:val="1A1A1A"/>
                <w:sz w:val="20"/>
                <w:szCs w:val="20"/>
              </w:rPr>
              <w:t xml:space="preserve">Payment Terms</w:t>
            </w:r>
          </w:p>
        </w:tc>
        <w:tc>
          <w:tcPr>
            <w:tcW w:type="dxa" w:w="5826"/>
            <w:tcBorders>
              <w:top w:val="single" w:color="D1D5DB" w:sz="4"/>
              <w:left w:val="single" w:color="D1D5DB" w:sz="4"/>
              <w:bottom w:val="single" w:color="D1D5DB" w:sz="4"/>
              <w:right w:val="single" w:color="D1D5DB" w:sz="4"/>
            </w:tcBorders>
            <w:tcMar>
              <w:top w:type="dxa" w:w="80"/>
              <w:left w:type="dxa" w:w="140"/>
              <w:bottom w:type="dxa" w:w="80"/>
              <w:right w:type="dxa" w:w="140"/>
            </w:tcMar>
          </w:tcPr>
          <w:p>
            <w:r>
              <w:rPr>
                <w:rFonts w:ascii="Arial" w:cs="Arial" w:eastAsia="Arial" w:hAnsi="Arial"/>
                <w:color w:val="1A1A1A"/>
                <w:sz w:val="20"/>
                <w:szCs w:val="20"/>
              </w:rPr>
              <w:t xml:space="preserve">14 days from approved invoice / progress claim</w:t>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AGREEMENT TERMS</w:t>
      </w:r>
    </w:p>
    <w:p>
      <w:pPr>
        <w:spacing w:after="60" w:before="160"/>
      </w:pPr>
      <w:r>
        <w:rPr>
          <w:rFonts w:ascii="Arial" w:cs="Arial" w:eastAsia="Arial" w:hAnsi="Arial"/>
          <w:b/>
          <w:bCs/>
          <w:color w:val="1A1A1A"/>
          <w:sz w:val="22"/>
          <w:szCs w:val="22"/>
        </w:rPr>
        <w:t xml:space="preserve">1. SCOPE OF WORKS</w:t>
      </w:r>
    </w:p>
    <w:p>
      <w:pPr>
        <w:spacing w:after="80" w:before="40"/>
      </w:pPr>
      <w:r>
        <w:rPr>
          <w:rFonts w:ascii="Arial" w:cs="Arial" w:eastAsia="Arial" w:hAnsi="Arial"/>
          <w:color w:val="1A1A1A"/>
          <w:sz w:val="20"/>
          <w:szCs w:val="20"/>
        </w:rPr>
        <w:t xml:space="preserve">The Subcontractor agrees to perform the Works described above and in any attached scope, drawings, or specifications in a good and workmanlike manner, in accordance with all applicable standards, codes, and this Agreement.</w:t>
      </w:r>
    </w:p>
    <w:p>
      <w:pPr>
        <w:spacing w:after="60" w:before="160"/>
      </w:pPr>
      <w:r>
        <w:rPr>
          <w:rFonts w:ascii="Arial" w:cs="Arial" w:eastAsia="Arial" w:hAnsi="Arial"/>
          <w:b/>
          <w:bCs/>
          <w:color w:val="1A1A1A"/>
          <w:sz w:val="22"/>
          <w:szCs w:val="22"/>
        </w:rPr>
        <w:t xml:space="preserve">2. PRICE &amp; PAYMENT</w:t>
      </w:r>
    </w:p>
    <w:p>
      <w:pPr>
        <w:spacing w:after="80" w:before="40"/>
      </w:pPr>
      <w:r>
        <w:rPr>
          <w:rFonts w:ascii="Arial" w:cs="Arial" w:eastAsia="Arial" w:hAnsi="Arial"/>
          <w:color w:val="1A1A1A"/>
          <w:sz w:val="20"/>
          <w:szCs w:val="20"/>
        </w:rPr>
        <w:t xml:space="preserve">The Subcontractor will be paid the agreed Contract Price. Invoices must include ABN and GST details. Payment will be made within the agreed terms upon receipt of a valid invoice and confirmation that the Works are satisfactorily completed. Variations to scope must be agreed in writing via a signed Variation Order (G5-VAR-018) before additional work is performed.</w:t>
      </w:r>
    </w:p>
    <w:p>
      <w:pPr>
        <w:spacing w:after="60" w:before="160"/>
      </w:pPr>
      <w:r>
        <w:rPr>
          <w:rFonts w:ascii="Arial" w:cs="Arial" w:eastAsia="Arial" w:hAnsi="Arial"/>
          <w:b/>
          <w:bCs/>
          <w:color w:val="1A1A1A"/>
          <w:sz w:val="22"/>
          <w:szCs w:val="22"/>
        </w:rPr>
        <w:t xml:space="preserve">3. SUBCONTRACTOR STATUS</w:t>
      </w:r>
    </w:p>
    <w:p>
      <w:pPr>
        <w:spacing w:after="80" w:before="40"/>
      </w:pPr>
      <w:r>
        <w:rPr>
          <w:rFonts w:ascii="Arial" w:cs="Arial" w:eastAsia="Arial" w:hAnsi="Arial"/>
          <w:color w:val="1A1A1A"/>
          <w:sz w:val="20"/>
          <w:szCs w:val="20"/>
        </w:rPr>
        <w:t xml:space="preserve">The Subcontractor is engaged as an independent contractor and not as an employee of the Principal Contractor. The Subcontractor is responsible for their own tax obligations, superannuation, and workers compensation for their employees.</w:t>
      </w:r>
    </w:p>
    <w:p>
      <w:pPr>
        <w:spacing w:after="60" w:before="160"/>
      </w:pPr>
      <w:r>
        <w:rPr>
          <w:rFonts w:ascii="Arial" w:cs="Arial" w:eastAsia="Arial" w:hAnsi="Arial"/>
          <w:b/>
          <w:bCs/>
          <w:color w:val="1A1A1A"/>
          <w:sz w:val="22"/>
          <w:szCs w:val="22"/>
        </w:rPr>
        <w:t xml:space="preserve">4. LICENCES, INSURANCE &amp; COMPLIANCE</w:t>
      </w:r>
    </w:p>
    <w:p>
      <w:pPr>
        <w:spacing w:after="80" w:before="40"/>
      </w:pPr>
      <w:r>
        <w:rPr>
          <w:rFonts w:ascii="Arial" w:cs="Arial" w:eastAsia="Arial" w:hAnsi="Arial"/>
          <w:color w:val="1A1A1A"/>
          <w:sz w:val="20"/>
          <w:szCs w:val="20"/>
        </w:rPr>
        <w:t xml:space="preserve">The Subcontractor warrants that they hold all licences, permits, and certifications required by law to perform the Works. The Subcontractor must maintain and provide evidence of: (a) Public Liability Insurance — minimum $20,000,000; (b) Workers Compensation Insurance as required by law. The Subcontractor must comply with all WHS legislation, site rules, and this Principal Contractor's WHS Management Plan.</w:t>
      </w:r>
    </w:p>
    <w:p>
      <w:pPr>
        <w:spacing w:after="60" w:before="160"/>
      </w:pPr>
      <w:r>
        <w:rPr>
          <w:rFonts w:ascii="Arial" w:cs="Arial" w:eastAsia="Arial" w:hAnsi="Arial"/>
          <w:b/>
          <w:bCs/>
          <w:color w:val="1A1A1A"/>
          <w:sz w:val="22"/>
          <w:szCs w:val="22"/>
        </w:rPr>
        <w:t xml:space="preserve">5. WHS OBLIGATIONS</w:t>
      </w:r>
    </w:p>
    <w:p>
      <w:pPr>
        <w:spacing w:after="80" w:before="40"/>
      </w:pPr>
      <w:r>
        <w:rPr>
          <w:rFonts w:ascii="Arial" w:cs="Arial" w:eastAsia="Arial" w:hAnsi="Arial"/>
          <w:color w:val="1A1A1A"/>
          <w:sz w:val="20"/>
          <w:szCs w:val="20"/>
        </w:rPr>
        <w:t xml:space="preserve">The Subcontractor must: (a) prepare a SWMS for all high-risk construction work before commencing; (b) induct all their workers using the site induction (G5-IND-003); (c) ensure all workers hold a current White Card; (d) report all incidents and near misses to the Principal Contractor immediately.</w:t>
      </w:r>
    </w:p>
    <w:p>
      <w:pPr>
        <w:spacing w:after="60" w:before="160"/>
      </w:pPr>
      <w:r>
        <w:rPr>
          <w:rFonts w:ascii="Arial" w:cs="Arial" w:eastAsia="Arial" w:hAnsi="Arial"/>
          <w:b/>
          <w:bCs/>
          <w:color w:val="1A1A1A"/>
          <w:sz w:val="22"/>
          <w:szCs w:val="22"/>
        </w:rPr>
        <w:t xml:space="preserve">6. DEFECTS LIABILITY</w:t>
      </w:r>
    </w:p>
    <w:p>
      <w:pPr>
        <w:spacing w:after="80" w:before="40"/>
      </w:pPr>
      <w:r>
        <w:rPr>
          <w:rFonts w:ascii="Arial" w:cs="Arial" w:eastAsia="Arial" w:hAnsi="Arial"/>
          <w:color w:val="1A1A1A"/>
          <w:sz w:val="20"/>
          <w:szCs w:val="20"/>
        </w:rPr>
        <w:t xml:space="preserve">The Subcontractor warrants their Works against defects in materials and workmanship for a period of 12 months from practical completion. The Subcontractor will rectify any defects notified during this period at no additional cost.</w:t>
      </w:r>
    </w:p>
    <w:p>
      <w:pPr>
        <w:spacing w:after="60" w:before="160"/>
      </w:pPr>
      <w:r>
        <w:rPr>
          <w:rFonts w:ascii="Arial" w:cs="Arial" w:eastAsia="Arial" w:hAnsi="Arial"/>
          <w:b/>
          <w:bCs/>
          <w:color w:val="1A1A1A"/>
          <w:sz w:val="22"/>
          <w:szCs w:val="22"/>
        </w:rPr>
        <w:t xml:space="preserve">7. RETENTION</w:t>
      </w:r>
    </w:p>
    <w:p>
      <w:pPr>
        <w:spacing w:after="80" w:before="40"/>
      </w:pPr>
      <w:r>
        <w:rPr>
          <w:rFonts w:ascii="Arial" w:cs="Arial" w:eastAsia="Arial" w:hAnsi="Arial"/>
          <w:color w:val="1A1A1A"/>
          <w:sz w:val="20"/>
          <w:szCs w:val="20"/>
        </w:rPr>
        <w:t xml:space="preserve">The Principal Contractor may withhold 5% of each progress payment as retention, to a maximum of 5% of the total Contract Price. Retention will be released within 14 days of the expiry of the defects liability period, subject to no outstanding defects.</w:t>
      </w:r>
    </w:p>
    <w:p>
      <w:pPr>
        <w:spacing w:after="60" w:before="160"/>
      </w:pPr>
      <w:r>
        <w:rPr>
          <w:rFonts w:ascii="Arial" w:cs="Arial" w:eastAsia="Arial" w:hAnsi="Arial"/>
          <w:b/>
          <w:bCs/>
          <w:color w:val="1A1A1A"/>
          <w:sz w:val="22"/>
          <w:szCs w:val="22"/>
        </w:rPr>
        <w:t xml:space="preserve">8. TERMINATION</w:t>
      </w:r>
    </w:p>
    <w:p>
      <w:pPr>
        <w:spacing w:after="80" w:before="40"/>
      </w:pPr>
      <w:r>
        <w:rPr>
          <w:rFonts w:ascii="Arial" w:cs="Arial" w:eastAsia="Arial" w:hAnsi="Arial"/>
          <w:color w:val="1A1A1A"/>
          <w:sz w:val="20"/>
          <w:szCs w:val="20"/>
        </w:rPr>
        <w:t xml:space="preserve">Either party may terminate this Agreement by giving 5 business days' written notice if the other party is in material breach and fails to remedy that breach within the notice period. The Principal Contractor may terminate immediately if the Subcontractor performs unsafe work after being warned, or fails to hold required licences or insurance.</w:t>
      </w:r>
    </w:p>
    <w:p>
      <w:pPr>
        <w:spacing w:after="60" w:before="160"/>
      </w:pPr>
      <w:r>
        <w:rPr>
          <w:rFonts w:ascii="Arial" w:cs="Arial" w:eastAsia="Arial" w:hAnsi="Arial"/>
          <w:b/>
          <w:bCs/>
          <w:color w:val="1A1A1A"/>
          <w:sz w:val="22"/>
          <w:szCs w:val="22"/>
        </w:rPr>
        <w:t xml:space="preserve">9. DISPUTE RESOLUTION</w:t>
      </w:r>
    </w:p>
    <w:p>
      <w:pPr>
        <w:spacing w:after="80" w:before="40"/>
      </w:pPr>
      <w:r>
        <w:rPr>
          <w:rFonts w:ascii="Arial" w:cs="Arial" w:eastAsia="Arial" w:hAnsi="Arial"/>
          <w:color w:val="1A1A1A"/>
          <w:sz w:val="20"/>
          <w:szCs w:val="20"/>
        </w:rPr>
        <w:t xml:space="preserve">The parties agree to first attempt to resolve any dispute by direct negotiation in good faith. If unresolved within 10 business days, either party may refer the dispute to mediation before commencing legal proceedings. This Agreement is governed by the laws of the Queensland.</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EXECUTION</w:t>
      </w:r>
    </w:p>
    <w:p>
      <w:pPr>
        <w:spacing w:after="60" w:before="60"/>
        <w:jc w:val="left"/>
      </w:pPr>
      <w:r>
        <w:rPr>
          <w:rFonts w:ascii="Arial" w:cs="Arial" w:eastAsia="Arial" w:hAnsi="Arial"/>
          <w:b w:val="false"/>
          <w:bCs w:val="false"/>
          <w:i w:val="false"/>
          <w:iCs w:val="false"/>
          <w:color w:val="1A1A1A"/>
          <w:sz w:val="20"/>
          <w:szCs w:val="20"/>
        </w:rPr>
        <w:t xml:space="preserve">By signing below, both parties confirm they have read, understood, and agree to be bound by this Agreement.</w:t>
      </w:r>
    </w:p>
    <w:p>
      <w:pPr>
        <w:spacing w:after="120" w:before="12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513"/>
        <w:gridCol w:w="4513"/>
      </w:tblGrid>
      <w:tr>
        <w:tc>
          <w:tcPr>
            <w:tcW w:type="dxa" w:w="4513"/>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PRINCIPAL CONTRACTOR</w:t>
            </w:r>
          </w:p>
        </w:tc>
        <w:tc>
          <w:tcPr>
            <w:tcW w:type="dxa" w:w="4513"/>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SUBCONTRACTOR</w:t>
            </w:r>
          </w:p>
        </w:tc>
      </w:tr>
      <w:tr>
        <w:tc>
          <w:tcPr>
            <w:tcW w:type="dxa" w:w="4513"/>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b/>
                <w:bCs/>
                <w:sz w:val="20"/>
                <w:szCs w:val="20"/>
              </w:rPr>
              <w:t xml:space="preserve">Name:</w:t>
            </w:r>
          </w:p>
        </w:tc>
        <w:tc>
          <w:tcPr>
            <w:tcW w:type="dxa" w:w="4513"/>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b/>
                <w:bCs/>
                <w:sz w:val="20"/>
                <w:szCs w:val="20"/>
              </w:rPr>
              <w:t xml:space="preserve">Name:</w:t>
            </w:r>
          </w:p>
        </w:tc>
      </w:tr>
      <w:tr>
        <w:tc>
          <w:tcPr>
            <w:tcW w:type="dxa" w:w="4513"/>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b/>
                <w:bCs/>
                <w:sz w:val="20"/>
                <w:szCs w:val="20"/>
              </w:rPr>
              <w:t xml:space="preserve">Signature:</w:t>
            </w:r>
          </w:p>
        </w:tc>
        <w:tc>
          <w:tcPr>
            <w:tcW w:type="dxa" w:w="4513"/>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b/>
                <w:bCs/>
                <w:sz w:val="20"/>
                <w:szCs w:val="20"/>
              </w:rPr>
              <w:t xml:space="preserve">Signature:</w:t>
            </w:r>
          </w:p>
        </w:tc>
      </w:tr>
      <w:tr>
        <w:tc>
          <w:tcPr>
            <w:tcW w:type="dxa" w:w="4513"/>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b/>
                <w:bCs/>
                <w:sz w:val="20"/>
                <w:szCs w:val="20"/>
              </w:rPr>
              <w:t xml:space="preserve">Position:</w:t>
            </w:r>
          </w:p>
        </w:tc>
        <w:tc>
          <w:tcPr>
            <w:tcW w:type="dxa" w:w="4513"/>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b/>
                <w:bCs/>
                <w:sz w:val="20"/>
                <w:szCs w:val="20"/>
              </w:rPr>
              <w:t xml:space="preserve">Position:</w:t>
            </w:r>
          </w:p>
        </w:tc>
      </w:tr>
      <w:tr>
        <w:tc>
          <w:tcPr>
            <w:tcW w:type="dxa" w:w="4513"/>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b/>
                <w:bCs/>
                <w:sz w:val="20"/>
                <w:szCs w:val="20"/>
              </w:rPr>
              <w:t xml:space="preserve">Date:</w:t>
            </w:r>
          </w:p>
        </w:tc>
        <w:tc>
          <w:tcPr>
            <w:tcW w:type="dxa" w:w="4513"/>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b/>
                <w:bCs/>
                <w:sz w:val="20"/>
                <w:szCs w:val="20"/>
              </w:rPr>
              <w:t xml:space="preserve">Date:</w:t>
            </w:r>
          </w:p>
        </w:tc>
      </w:tr>
      <w:tr>
        <w:tc>
          <w:tcPr>
            <w:tcW w:type="dxa" w:w="4513"/>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b/>
                <w:bCs/>
                <w:sz w:val="20"/>
                <w:szCs w:val="20"/>
              </w:rPr>
              <w:t xml:space="preserve">Witnessed By:</w:t>
            </w:r>
          </w:p>
        </w:tc>
        <w:tc>
          <w:tcPr>
            <w:tcW w:type="dxa" w:w="4513"/>
            <w:tcBorders>
              <w:top w:val="single" w:color="D1D5DB" w:sz="4"/>
              <w:left w:val="single" w:color="D1D5DB" w:sz="4"/>
              <w:bottom w:val="single" w:color="D1D5DB" w:sz="4"/>
              <w:right w:val="single" w:color="D1D5DB" w:sz="4"/>
            </w:tcBorders>
            <w:tcMar>
              <w:top w:type="dxa" w:w="160"/>
              <w:left w:type="dxa" w:w="140"/>
              <w:bottom w:type="dxa" w:w="160"/>
              <w:right w:type="dxa" w:w="140"/>
            </w:tcMar>
          </w:tcPr>
          <w:p>
            <w:r>
              <w:rPr>
                <w:rFonts w:ascii="Arial" w:cs="Arial" w:eastAsia="Arial" w:hAnsi="Arial"/>
                <w:b/>
                <w:bCs/>
                <w:sz w:val="20"/>
                <w:szCs w:val="20"/>
              </w:rPr>
              <w:t xml:space="preserve">Witnessed By:</w:t>
            </w:r>
          </w:p>
        </w:tc>
      </w:tr>
    </w:tbl>
    <w:sectPr>
      <w:headerReference w:type="default" r:id="rId7"/>
      <w:footerReference w:type="default" r:id="rId8"/>
      <w:pgSz w:w="11906" w:h="16838" w:orient="portrait"/>
      <w:pgMar w:top="1000" w:right="1000" w:bottom="12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1D5DB" w:sz="4" w:space="4"/>
      </w:pBdr>
    </w:pPr>
    <w:r>
      <w:rPr>
        <w:rFonts w:ascii="Arial" w:cs="Arial" w:eastAsia="Arial" w:hAnsi="Arial"/>
        <w:color w:val="3A3F47"/>
        <w:sz w:val="16"/>
        <w:szCs w:val="16"/>
      </w:rPr>
      <w:t xml:space="preserve">Document: G5-AGR-016  |  Version: 1.0  |  Issue Date: May 2026  |  Next Review: May 2027  |  Page </w:t>
    </w:r>
    <w:r>
      <w:rPr>
        <w:rFonts w:ascii="Arial" w:cs="Arial" w:eastAsia="Arial" w:hAnsi="Arial"/>
        <w:color w:val="3A3F47"/>
        <w:sz w:val="16"/>
        <w:szCs w:val="16"/>
      </w:rPr>
      <w:fldChar w:fldCharType="begin"/>
      <w:instrText xml:space="preserve">PAGE</w:instrText>
      <w:fldChar w:fldCharType="separate"/>
      <w:fldChar w:fldCharType="end"/>
    </w:r>
    <w:r>
      <w:rPr>
        <w:rFonts w:ascii="Arial" w:cs="Arial" w:eastAsia="Arial" w:hAnsi="Arial"/>
        <w:color w:val="3A3F47"/>
        <w:sz w:val="16"/>
        <w:szCs w:val="16"/>
      </w:rPr>
      <w:t xml:space="preserve"> of </w:t>
    </w:r>
    <w:r>
      <w:rPr>
        <w:rFonts w:ascii="Arial" w:cs="Arial" w:eastAsia="Arial" w:hAnsi="Arial"/>
        <w:color w:val="3A3F47"/>
        <w:sz w:val="16"/>
        <w:szCs w:val="16"/>
      </w:rPr>
      <w:fldChar w:fldCharType="begin"/>
      <w:instrText xml:space="preserve">NUMPAGES</w:instrText>
      <w:fldChar w:fldCharType="separate"/>
      <w:fldChar w:fldCharType="end"/>
    </w:r>
  </w:p>
  <w:p>
    <w:pPr>
      <w:spacing w:before="40"/>
    </w:pPr>
    <w:r>
      <w:rPr>
        <w:rFonts w:ascii="Arial" w:cs="Arial" w:eastAsia="Arial" w:hAnsi="Arial"/>
        <w:i/>
        <w:iCs/>
        <w:color w:val="888888"/>
        <w:sz w:val="14"/>
        <w:szCs w:val="14"/>
      </w:rPr>
      <w:t xml:space="preserve">DISCLAIMER: These are professional templates. They do not constitute legal advice. Users are responsible for ensuring documents meet applicable WHS legislation in their state/territory.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026"/>
      <w:tblBorders>
        <w:top w:val="none" w:color="FFFFFF" w:sz="0"/>
        <w:left w:val="none" w:color="FFFFFF" w:sz="0"/>
        <w:bottom w:val="single" w:color="F26B1D" w:sz="12"/>
        <w:right w:val="none" w:color="FFFFFF" w:sz="0"/>
        <w:insideH w:val="single" w:color="auto" w:sz="4"/>
        <w:insideV w:val="single" w:color="auto" w:sz="4"/>
      </w:tblBorders>
    </w:tblPr>
    <w:tblGrid>
      <w:gridCol w:w="6026"/>
      <w:gridCol w:w="3000"/>
    </w:tblGrid>
    <w:tr>
      <w:tc>
        <w:tcPr>
          <w:tcW w:type="dxa" w:w="6026"/>
          <w:tcBorders>
            <w:top w:val="none" w:color="FFFFFF" w:sz="0"/>
            <w:left w:val="none" w:color="FFFFFF" w:sz="0"/>
            <w:bottom w:val="none" w:color="FFFFFF" w:sz="0"/>
            <w:right w:val="none" w:color="FFFFFF" w:sz="0"/>
          </w:tcBorders>
          <w:tcMar>
            <w:top w:type="dxa" w:w="40"/>
            <w:left w:type="dxa" w:w="0"/>
            <w:bottom w:type="dxa" w:w="80"/>
            <w:right w:type="dxa" w:w="0"/>
          </w:tcMar>
        </w:tcPr>
        <w:p>
          <w:r>
            <w:rPr>
              <w:rFonts w:ascii="Arial" w:cs="Arial" w:eastAsia="Arial" w:hAnsi="Arial"/>
              <w:b/>
              <w:bCs/>
              <w:color w:val="F26B1D"/>
              <w:sz w:val="22"/>
              <w:szCs w:val="22"/>
            </w:rPr>
            <w:t xml:space="preserve">G5 ONLINE</w:t>
          </w:r>
        </w:p>
        <w:p>
          <w:r>
            <w:rPr>
              <w:rFonts w:ascii="Arial" w:cs="Arial" w:eastAsia="Arial" w:hAnsi="Arial"/>
              <w:color w:val="3A3F47"/>
              <w:sz w:val="18"/>
              <w:szCs w:val="18"/>
            </w:rPr>
            <w:t xml:space="preserve">Subcontractor Agreement</w:t>
          </w:r>
        </w:p>
      </w:tc>
      <w:tc>
        <w:tcPr>
          <w:tcW w:type="dxa" w:w="3000"/>
          <w:tcBorders>
            <w:top w:val="none" w:color="FFFFFF" w:sz="0"/>
            <w:left w:val="none" w:color="FFFFFF" w:sz="0"/>
            <w:bottom w:val="none" w:color="FFFFFF" w:sz="0"/>
            <w:right w:val="none" w:color="FFFFFF" w:sz="0"/>
          </w:tcBorders>
          <w:tcMar>
            <w:top w:type="dxa" w:w="40"/>
            <w:left w:type="dxa" w:w="0"/>
            <w:bottom w:type="dxa" w:w="80"/>
            <w:right w:type="dxa" w:w="0"/>
          </w:tcMar>
        </w:tcPr>
        <w:p>
          <w:pPr>
            <w:jc w:val="right"/>
          </w:pPr>
          <w:r>
            <w:rPr>
              <w:rFonts w:ascii="Arial" w:cs="Arial" w:eastAsia="Arial" w:hAnsi="Arial"/>
              <w:i/>
              <w:iCs/>
              <w:color w:val="3A3F47"/>
              <w:sz w:val="16"/>
              <w:szCs w:val="16"/>
            </w:rPr>
            <w:t xml:space="preserve">www.g5online.com.au</w:t>
          </w:r>
        </w:p>
        <w:p>
          <w:pPr>
            <w:jc w:val="right"/>
          </w:pPr>
          <w:r>
            <w:rPr>
              <w:rFonts w:ascii="Arial" w:cs="Arial" w:eastAsia="Arial" w:hAnsi="Arial"/>
              <w:color w:val="3A3F47"/>
              <w:sz w:val="16"/>
              <w:szCs w:val="16"/>
            </w:rPr>
            <w:t xml:space="preserve">© 2026 G5 Online</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60"/>
      </w:pPr>
    </w:lvl>
  </w:abstractNum>
  <w:abstractNum w:abstractNumId="3" w15:restartNumberingAfterBreak="0">
    <w:multiLevelType w:val="hybridMultilevel"/>
    <w:lvl w:ilvl="0" w15:tentative="1">
      <w:start w:val="1"/>
      <w:numFmt w:val="decimal"/>
      <w:lvlText w:val="%1."/>
      <w:lvlJc w:val="left"/>
      <w:pPr>
        <w:ind w:left="540" w:hanging="2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color w:val="1A1A1A"/>
      <w:sz w:val="32"/>
      <w:szCs w:val="32"/>
    </w:rPr>
  </w:style>
  <w:style w:type="paragraph" w:styleId="Heading2">
    <w:name w:val="Heading 2"/>
    <w:basedOn w:val="Normal"/>
    <w:next w:val="Normal"/>
    <w:qFormat/>
    <w:pPr>
      <w:spacing w:after="100" w:before="200"/>
      <w:outlineLvl w:val="1"/>
    </w:pPr>
    <w:rPr>
      <w:rFonts w:ascii="Arial" w:cs="Arial" w:eastAsia="Arial" w:hAnsi="Arial"/>
      <w:b/>
      <w:bCs/>
      <w:color w:val="3A3F47"/>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2026-05-18T11:25:13.825Z</dcterms:created>
  <dcterms:modified xsi:type="dcterms:W3CDTF">2026-05-18T11:25:13.825Z</dcterms:modified>
</cp:coreProperties>
</file>

<file path=docProps/custom.xml><?xml version="1.0" encoding="utf-8"?>
<Properties xmlns="http://schemas.openxmlformats.org/officeDocument/2006/custom-properties" xmlns:vt="http://schemas.openxmlformats.org/officeDocument/2006/docPropsVTypes"/>
</file>