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none" w:color="FFFFFF" w:sz="0"/>
              <w:left w:val="single" w:color="F26B1D" w:sz="20"/>
              <w:bottom w:val="none" w:color="FFFFFF" w:sz="0"/>
              <w:right w:val="none" w:color="FFFFFF" w:sz="0"/>
            </w:tcBorders>
            <w:shd w:fill="F2F2F2" w:val="clear"/>
            <w:tcMar>
              <w:top w:type="dxa" w:w="160"/>
              <w:left w:type="dxa" w:w="240"/>
              <w:bottom w:type="dxa" w:w="160"/>
              <w:right w:type="dxa" w:w="240"/>
            </w:tcMar>
          </w:tcPr>
          <w:p>
            <w:r>
              <w:rPr>
                <w:rFonts w:ascii="Arial" w:cs="Arial" w:eastAsia="Arial" w:hAnsi="Arial"/>
                <w:b/>
                <w:bCs/>
                <w:color w:val="1A1A1A"/>
                <w:sz w:val="40"/>
                <w:szCs w:val="40"/>
              </w:rPr>
              <w:t xml:space="preserve">How to Run a Compliant Residential Build Site</w:t>
            </w:r>
          </w:p>
          <w:p>
            <w:r>
              <w:rPr>
                <w:rFonts w:ascii="Arial" w:cs="Arial" w:eastAsia="Arial" w:hAnsi="Arial"/>
                <w:color w:val="3A3F47"/>
                <w:sz w:val="22"/>
                <w:szCs w:val="22"/>
              </w:rPr>
              <w:t xml:space="preserve">A Practical Guide for Australian Residential Builders — Using Your G5 Online Document Pack</w:t>
            </w:r>
          </w:p>
          <w:p>
            <w:pPr>
              <w:spacing w:before="80"/>
            </w:pPr>
            <w:r>
              <w:rPr>
                <w:rFonts w:ascii="Arial" w:cs="Arial" w:eastAsia="Arial" w:hAnsi="Arial"/>
                <w:color w:val="888888"/>
                <w:sz w:val="18"/>
                <w:szCs w:val="18"/>
              </w:rPr>
              <w:t xml:space="preserve">Doc No: G5-GDE-021  |  Version: 1.0  |  Issue: May 2026</w:t>
            </w:r>
          </w:p>
        </w:tc>
      </w:tr>
    </w:tbl>
    <w:p>
      <w:pPr>
        <w:spacing w:after="120" w:before="120"/>
      </w:pPr>
      <w:r>
        <w:t xml:space="preserve"/>
      </w:r>
    </w:p>
    <w:p>
      <w:pPr>
        <w:spacing w:after="60" w:before="60"/>
        <w:jc w:val="left"/>
      </w:pPr>
      <w:r>
        <w:rPr>
          <w:rFonts w:ascii="Arial" w:cs="Arial" w:eastAsia="Arial" w:hAnsi="Arial"/>
          <w:b w:val="false"/>
          <w:bCs w:val="false"/>
          <w:i w:val="false"/>
          <w:iCs w:val="false"/>
          <w:color w:val="1A1A1A"/>
          <w:sz w:val="20"/>
          <w:szCs w:val="20"/>
        </w:rPr>
        <w:t xml:space="preserve">This guide is written for working builders — not WHS consultants. It explains what you legally need, when you need it, and how to use the documents in this pack to stay compliant, win more work, and avoid costly fines.</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1 — THE LEGAL FRAMEWORK IN PLAIN ENGLISH</w:t>
      </w:r>
    </w:p>
    <w:p>
      <w:pPr>
        <w:spacing w:after="60" w:before="60"/>
        <w:jc w:val="left"/>
      </w:pPr>
      <w:r>
        <w:rPr>
          <w:rFonts w:ascii="Arial" w:cs="Arial" w:eastAsia="Arial" w:hAnsi="Arial"/>
          <w:b w:val="false"/>
          <w:bCs w:val="false"/>
          <w:i w:val="false"/>
          <w:iCs w:val="false"/>
          <w:color w:val="1A1A1A"/>
          <w:sz w:val="20"/>
          <w:szCs w:val="20"/>
        </w:rPr>
        <w:t xml:space="preserve">Construction in Australia is governed by the Work Health and Safety Act 2011 (Work Health and Safety Act 2011 (Qld)). The key obligations for residential builders are:</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Obligation</w:t>
            </w:r>
          </w:p>
        </w:tc>
        <w:tc>
          <w:tcPr>
            <w:tcW w:type="dxa" w:w="6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What it means for you</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Duty of care</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As a PCBU (Person Conducting a Business or Undertaking), you are responsible for the health and safety of workers, visitors, and the public at your site — so far as is reasonably practicable.</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SWMS for high-risk work</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A Safe Work Method Statement must be prepared for any high-risk construction work (see Schedule 18 of the WHS Regulations) BEFORE that work starts. It is not optional.</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WHS Management Plan</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Required by law for projects with a contract value over $250,000. Must be prepared before work starts, kept on site, and updated when conditions change.</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Worker consultation</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 must consult workers on WHS matters that affect them. Toolbox talks and pre-start meetings count — document them.</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Incident reporting</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Notifiable incidents (death, serious injury, dangerous incident) must be reported to your state WHS regulator IMMEDIATELY by the fastest available means.</w:t>
            </w:r>
          </w:p>
        </w:tc>
      </w:tr>
      <w:tr>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White Cards</w:t>
            </w:r>
          </w:p>
        </w:tc>
        <w:tc>
          <w:tcPr>
            <w:tcW w:type="dxa" w:w="6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Every worker on your site must hold a current Construction Induction Card (White Card). Sight and record it at induction.</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2 — YOUR DOCUMENT PACK: WHAT TO USE AND WHEN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526"/>
      </w:tblGrid>
      <w:tr>
        <w:tc>
          <w:tcPr>
            <w:tcW w:type="dxa" w:w="2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Document</w:t>
            </w:r>
          </w:p>
        </w:tc>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When to Use</w:t>
            </w:r>
          </w:p>
        </w:tc>
        <w:tc>
          <w:tcPr>
            <w:tcW w:type="dxa" w:w="45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Key Points</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G5-WHS-002 WHS Management Plan</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work starts on any project &gt;$250K</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Fill in project details. Keep on site. Update if scope changes or incident occurs.</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G5-SWMS-001 Main SWMS</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any high-risk work on site</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Complete project details. Induct all workers. Get signatures. Review if conditions change.</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Trade SWMS (11-15)</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specific trade high-risk work</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Use the relevant trade SWMS alongside the main SWMS.</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G5-IND-003 Site Induction</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Every new person who steps on site</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Sight White Card. Walk through checklist. Get signature. File it.</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G5-SUB-004 Subcontractor Prequalification</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engaging any subcontractor</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Collect before they start. Verify insurance. Keep on file.</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G5-TBX-005 Toolbox Talk</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Start of each day / new task</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5–10 minutes. Cover today's hazards. Get all attendees to sign.</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G5-INS-007 Site Inspection</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Weekly (minimum)</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Walk the whole site. Raise actions. Sign off. File completed form.</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G5-INC-006 Incident Report</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Any incident, near miss, or injury</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Complete within 24 hours. For notifiable incidents — call WorkSafe Queensland on 1300 362 128 first.</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G5-NCR-008 NCR</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When work doesn't meet spec</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Issue promptly. Agree corrective action. Close out and verify.</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G5-DEF-009 Defect Register</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From first inspection to handover</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Ongoing document. Share with client at handover.</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G5-PHS-010 Phase Checklist</w:t>
            </w:r>
          </w:p>
        </w:tc>
        <w:tc>
          <w:tcPr>
            <w:tcW w:type="dxa" w:w="2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At each construction stage</w:t>
            </w:r>
          </w:p>
        </w:tc>
        <w:tc>
          <w:tcPr>
            <w:tcW w:type="dxa" w:w="4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Complete before calling for inspection / claiming payment for that stage.</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3 — YOUR FIRST DAY ON SITE: A CHECKLIST</w:t>
      </w:r>
    </w:p>
    <w:p>
      <w:pPr>
        <w:pStyle w:val="ListParagraph"/>
        <w:numPr>
          <w:ilvl w:val="0"/>
          <w:numId w:val="2"/>
        </w:numPr>
        <w:spacing w:after="40" w:before="40"/>
      </w:pPr>
      <w:r>
        <w:rPr>
          <w:rFonts w:ascii="Arial" w:cs="Arial" w:eastAsia="Arial" w:hAnsi="Arial"/>
          <w:color w:val="1A1A1A"/>
          <w:sz w:val="20"/>
          <w:szCs w:val="20"/>
        </w:rPr>
        <w:t xml:space="preserve">WHS Management Plan completed and on site (if contract &gt;$250K)</w:t>
      </w:r>
    </w:p>
    <w:p>
      <w:pPr>
        <w:pStyle w:val="ListParagraph"/>
        <w:numPr>
          <w:ilvl w:val="0"/>
          <w:numId w:val="2"/>
        </w:numPr>
        <w:spacing w:after="40" w:before="40"/>
      </w:pPr>
      <w:r>
        <w:rPr>
          <w:rFonts w:ascii="Arial" w:cs="Arial" w:eastAsia="Arial" w:hAnsi="Arial"/>
          <w:color w:val="1A1A1A"/>
          <w:sz w:val="20"/>
          <w:szCs w:val="20"/>
        </w:rPr>
        <w:t xml:space="preserve">Main SWMS completed and all workers inducted and signed on</w:t>
      </w:r>
    </w:p>
    <w:p>
      <w:pPr>
        <w:pStyle w:val="ListParagraph"/>
        <w:numPr>
          <w:ilvl w:val="0"/>
          <w:numId w:val="2"/>
        </w:numPr>
        <w:spacing w:after="40" w:before="40"/>
      </w:pPr>
      <w:r>
        <w:rPr>
          <w:rFonts w:ascii="Arial" w:cs="Arial" w:eastAsia="Arial" w:hAnsi="Arial"/>
          <w:color w:val="1A1A1A"/>
          <w:sz w:val="20"/>
          <w:szCs w:val="20"/>
        </w:rPr>
        <w:t xml:space="preserve">Site induction completed for every worker — White Cards sighted and recorded</w:t>
      </w:r>
    </w:p>
    <w:p>
      <w:pPr>
        <w:pStyle w:val="ListParagraph"/>
        <w:numPr>
          <w:ilvl w:val="0"/>
          <w:numId w:val="2"/>
        </w:numPr>
        <w:spacing w:after="40" w:before="40"/>
      </w:pPr>
      <w:r>
        <w:rPr>
          <w:rFonts w:ascii="Arial" w:cs="Arial" w:eastAsia="Arial" w:hAnsi="Arial"/>
          <w:color w:val="1A1A1A"/>
          <w:sz w:val="20"/>
          <w:szCs w:val="20"/>
        </w:rPr>
        <w:t xml:space="preserve">Site set up: fencing, toilet facilities, first aid kit, emergency contacts posted</w:t>
      </w:r>
    </w:p>
    <w:p>
      <w:pPr>
        <w:pStyle w:val="ListParagraph"/>
        <w:numPr>
          <w:ilvl w:val="0"/>
          <w:numId w:val="2"/>
        </w:numPr>
        <w:spacing w:after="40" w:before="40"/>
      </w:pPr>
      <w:r>
        <w:rPr>
          <w:rFonts w:ascii="Arial" w:cs="Arial" w:eastAsia="Arial" w:hAnsi="Arial"/>
          <w:color w:val="1A1A1A"/>
          <w:sz w:val="20"/>
          <w:szCs w:val="20"/>
        </w:rPr>
        <w:t xml:space="preserve">Dial Before You Dig completed for the project</w:t>
      </w:r>
    </w:p>
    <w:p>
      <w:pPr>
        <w:pStyle w:val="ListParagraph"/>
        <w:numPr>
          <w:ilvl w:val="0"/>
          <w:numId w:val="2"/>
        </w:numPr>
        <w:spacing w:after="40" w:before="40"/>
      </w:pPr>
      <w:r>
        <w:rPr>
          <w:rFonts w:ascii="Arial" w:cs="Arial" w:eastAsia="Arial" w:hAnsi="Arial"/>
          <w:color w:val="1A1A1A"/>
          <w:sz w:val="20"/>
          <w:szCs w:val="20"/>
        </w:rPr>
        <w:t xml:space="preserve">Subcontractor prequalification forms collected for all subbies on Day 1</w:t>
      </w:r>
    </w:p>
    <w:p>
      <w:pPr>
        <w:pStyle w:val="ListParagraph"/>
        <w:numPr>
          <w:ilvl w:val="0"/>
          <w:numId w:val="2"/>
        </w:numPr>
        <w:spacing w:after="40" w:before="40"/>
      </w:pPr>
      <w:r>
        <w:rPr>
          <w:rFonts w:ascii="Arial" w:cs="Arial" w:eastAsia="Arial" w:hAnsi="Arial"/>
          <w:color w:val="1A1A1A"/>
          <w:sz w:val="20"/>
          <w:szCs w:val="20"/>
        </w:rPr>
        <w:t xml:space="preserve">Toolbox talk conducted and signed</w:t>
      </w:r>
    </w:p>
    <w:p>
      <w:pPr>
        <w:pStyle w:val="ListParagraph"/>
        <w:numPr>
          <w:ilvl w:val="0"/>
          <w:numId w:val="2"/>
        </w:numPr>
        <w:spacing w:after="40" w:before="40"/>
      </w:pPr>
      <w:r>
        <w:rPr>
          <w:rFonts w:ascii="Arial" w:cs="Arial" w:eastAsia="Arial" w:hAnsi="Arial"/>
          <w:color w:val="1A1A1A"/>
          <w:sz w:val="20"/>
          <w:szCs w:val="20"/>
        </w:rPr>
        <w:t xml:space="preserve">Emergency contact list posted in site office/amenities</w:t>
      </w:r>
    </w:p>
    <w:p>
      <w:pPr>
        <w:pStyle w:val="ListParagraph"/>
        <w:numPr>
          <w:ilvl w:val="0"/>
          <w:numId w:val="2"/>
        </w:numPr>
        <w:spacing w:after="40" w:before="40"/>
      </w:pPr>
      <w:r>
        <w:rPr>
          <w:rFonts w:ascii="Arial" w:cs="Arial" w:eastAsia="Arial" w:hAnsi="Arial"/>
          <w:color w:val="1A1A1A"/>
          <w:sz w:val="20"/>
          <w:szCs w:val="20"/>
        </w:rPr>
        <w:t xml:space="preserve">Nearest hospital and first aid officer identified</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4 — MANAGING SUBCONTRACTORS SAFELY</w:t>
      </w:r>
    </w:p>
    <w:p>
      <w:pPr>
        <w:spacing w:after="60" w:before="60"/>
        <w:jc w:val="left"/>
      </w:pPr>
      <w:r>
        <w:rPr>
          <w:rFonts w:ascii="Arial" w:cs="Arial" w:eastAsia="Arial" w:hAnsi="Arial"/>
          <w:b w:val="false"/>
          <w:bCs w:val="false"/>
          <w:i w:val="false"/>
          <w:iCs w:val="false"/>
          <w:color w:val="1A1A1A"/>
          <w:sz w:val="20"/>
          <w:szCs w:val="20"/>
        </w:rPr>
        <w:t xml:space="preserve">As principal contractor, you are responsible for WHS on your site — even when subbies are performing the work. Here's what you must do:</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c>
          <w:tcPr>
            <w:tcW w:type="dxa" w:w="2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Step</w:t>
            </w:r>
          </w:p>
        </w:tc>
        <w:tc>
          <w:tcPr>
            <w:tcW w:type="dxa" w:w="7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Action</w:t>
            </w:r>
          </w:p>
        </w:tc>
      </w:tr>
      <w:tr>
        <w:tc>
          <w:tcPr>
            <w:tcW w:type="dxa" w:w="20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Before engagement</w:t>
            </w:r>
          </w:p>
        </w:tc>
        <w:tc>
          <w:tcPr>
            <w:tcW w:type="dxa" w:w="7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Collect completed G5-SUB-004 Prequalification Form. Sight insurance certificates. Sight relevant licences. Ensure signed Subcontractor Agreement is in place (G5-AGR-016).</w:t>
            </w:r>
          </w:p>
        </w:tc>
      </w:tr>
      <w:tr>
        <w:tc>
          <w:tcPr>
            <w:tcW w:type="dxa" w:w="20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Before starting work</w:t>
            </w:r>
          </w:p>
        </w:tc>
        <w:tc>
          <w:tcPr>
            <w:tcW w:type="dxa" w:w="7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Complete site induction (G5-IND-003) for all their workers. Sight and record White Cards. Ensure their SWMS is site-specific and signed before high-risk work starts.</w:t>
            </w:r>
          </w:p>
        </w:tc>
      </w:tr>
      <w:tr>
        <w:tc>
          <w:tcPr>
            <w:tcW w:type="dxa" w:w="20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During the job</w:t>
            </w:r>
          </w:p>
        </w:tc>
        <w:tc>
          <w:tcPr>
            <w:tcW w:type="dxa" w:w="7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Include them in daily toolbox talks. Conduct weekly site inspections. Raise NCRs immediately if work is not to standard.</w:t>
            </w:r>
          </w:p>
        </w:tc>
      </w:tr>
      <w:tr>
        <w:tc>
          <w:tcPr>
            <w:tcW w:type="dxa" w:w="20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Payment</w:t>
            </w:r>
          </w:p>
        </w:tc>
        <w:tc>
          <w:tcPr>
            <w:tcW w:type="dxa" w:w="7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Use progress claim process. Retain 5% until defects liability expires. Only release retention against signed Variation Orders.</w:t>
            </w:r>
          </w:p>
        </w:tc>
      </w:tr>
      <w:tr>
        <w:tc>
          <w:tcPr>
            <w:tcW w:type="dxa" w:w="2000"/>
            <w:tcBorders>
              <w:top w:val="single" w:color="D1D5DB" w:sz="4"/>
              <w:left w:val="single" w:color="D1D5DB" w:sz="4"/>
              <w:bottom w:val="single" w:color="D1D5DB" w:sz="4"/>
              <w:right w:val="single" w:color="D1D5DB" w:sz="4"/>
            </w:tcBorders>
            <w:shd w:fill="F2F2F2"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After completion</w:t>
            </w:r>
          </w:p>
        </w:tc>
        <w:tc>
          <w:tcPr>
            <w:tcW w:type="dxa" w:w="7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Record any defects on G5-DEF-009. Follow up until closed out. Keep all documentation for 5 years minimum.</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5 — WHAT HAPPENS IF SOMETHING GOES WRONG</w:t>
      </w:r>
    </w:p>
    <w:p>
      <w:pPr>
        <w:pStyle w:val="Heading2"/>
        <w:spacing w:after="100" w:before="200"/>
      </w:pPr>
      <w:r>
        <w:rPr>
          <w:rFonts w:ascii="Arial" w:cs="Arial" w:eastAsia="Arial" w:hAnsi="Arial"/>
          <w:b/>
          <w:bCs/>
          <w:color w:val="3A3F47"/>
          <w:sz w:val="26"/>
          <w:szCs w:val="26"/>
        </w:rPr>
        <w:t xml:space="preserve">Incidents &amp; Near Misses</w:t>
      </w:r>
    </w:p>
    <w:p>
      <w:pPr>
        <w:spacing w:after="60" w:before="60"/>
        <w:jc w:val="left"/>
      </w:pPr>
      <w:r>
        <w:rPr>
          <w:rFonts w:ascii="Arial" w:cs="Arial" w:eastAsia="Arial" w:hAnsi="Arial"/>
          <w:b w:val="false"/>
          <w:bCs w:val="false"/>
          <w:i w:val="false"/>
          <w:iCs w:val="false"/>
          <w:color w:val="1A1A1A"/>
          <w:sz w:val="20"/>
          <w:szCs w:val="20"/>
        </w:rPr>
        <w:t xml:space="preserve">If anyone is injured or a near miss occurs, the response sequence is:</w:t>
      </w:r>
    </w:p>
    <w:p>
      <w:pPr>
        <w:pStyle w:val="ListParagraph"/>
        <w:numPr>
          <w:ilvl w:val="0"/>
          <w:numId w:val="3"/>
        </w:numPr>
        <w:spacing w:after="40" w:before="40"/>
      </w:pPr>
      <w:r>
        <w:rPr>
          <w:rFonts w:ascii="Arial" w:cs="Arial" w:eastAsia="Arial" w:hAnsi="Arial"/>
          <w:sz w:val="20"/>
          <w:szCs w:val="20"/>
        </w:rPr>
        <w:t xml:space="preserve">Secure the area — prevent further injury</w:t>
      </w:r>
    </w:p>
    <w:p>
      <w:pPr>
        <w:pStyle w:val="ListParagraph"/>
        <w:numPr>
          <w:ilvl w:val="0"/>
          <w:numId w:val="3"/>
        </w:numPr>
        <w:spacing w:after="40" w:before="40"/>
      </w:pPr>
      <w:r>
        <w:rPr>
          <w:rFonts w:ascii="Arial" w:cs="Arial" w:eastAsia="Arial" w:hAnsi="Arial"/>
          <w:sz w:val="20"/>
          <w:szCs w:val="20"/>
        </w:rPr>
        <w:t xml:space="preserve">Attend to the injured person — call 000 if serious</w:t>
      </w:r>
    </w:p>
    <w:p>
      <w:pPr>
        <w:pStyle w:val="ListParagraph"/>
        <w:numPr>
          <w:ilvl w:val="0"/>
          <w:numId w:val="3"/>
        </w:numPr>
        <w:spacing w:after="40" w:before="40"/>
      </w:pPr>
      <w:r>
        <w:rPr>
          <w:rFonts w:ascii="Arial" w:cs="Arial" w:eastAsia="Arial" w:hAnsi="Arial"/>
          <w:sz w:val="20"/>
          <w:szCs w:val="20"/>
        </w:rPr>
        <w:t xml:space="preserve">For notifiable incidents: call your state WHS regulator IMMEDIATELY (WorkSafe Queensland: 1300 362 128)</w:t>
      </w:r>
    </w:p>
    <w:p>
      <w:pPr>
        <w:pStyle w:val="ListParagraph"/>
        <w:numPr>
          <w:ilvl w:val="0"/>
          <w:numId w:val="3"/>
        </w:numPr>
        <w:spacing w:after="40" w:before="40"/>
      </w:pPr>
      <w:r>
        <w:rPr>
          <w:rFonts w:ascii="Arial" w:cs="Arial" w:eastAsia="Arial" w:hAnsi="Arial"/>
          <w:sz w:val="20"/>
          <w:szCs w:val="20"/>
        </w:rPr>
        <w:t xml:space="preserve">Do not disturb the scene of a notifiable incident except to help injured persons or make the area safe</w:t>
      </w:r>
    </w:p>
    <w:p>
      <w:pPr>
        <w:pStyle w:val="ListParagraph"/>
        <w:numPr>
          <w:ilvl w:val="0"/>
          <w:numId w:val="3"/>
        </w:numPr>
        <w:spacing w:after="40" w:before="40"/>
      </w:pPr>
      <w:r>
        <w:rPr>
          <w:rFonts w:ascii="Arial" w:cs="Arial" w:eastAsia="Arial" w:hAnsi="Arial"/>
          <w:sz w:val="20"/>
          <w:szCs w:val="20"/>
        </w:rPr>
        <w:t xml:space="preserve">Complete G5-INC-006 Incident Report within 24 hours</w:t>
      </w:r>
    </w:p>
    <w:p>
      <w:pPr>
        <w:pStyle w:val="ListParagraph"/>
        <w:numPr>
          <w:ilvl w:val="0"/>
          <w:numId w:val="3"/>
        </w:numPr>
        <w:spacing w:after="40" w:before="40"/>
      </w:pPr>
      <w:r>
        <w:rPr>
          <w:rFonts w:ascii="Arial" w:cs="Arial" w:eastAsia="Arial" w:hAnsi="Arial"/>
          <w:sz w:val="20"/>
          <w:szCs w:val="20"/>
        </w:rPr>
        <w:t xml:space="preserve">Investigate the cause and implement corrective actions</w:t>
      </w:r>
    </w:p>
    <w:p>
      <w:pPr>
        <w:pStyle w:val="ListParagraph"/>
        <w:numPr>
          <w:ilvl w:val="0"/>
          <w:numId w:val="3"/>
        </w:numPr>
        <w:spacing w:after="40" w:before="40"/>
      </w:pPr>
      <w:r>
        <w:rPr>
          <w:rFonts w:ascii="Arial" w:cs="Arial" w:eastAsia="Arial" w:hAnsi="Arial"/>
          <w:sz w:val="20"/>
          <w:szCs w:val="20"/>
        </w:rPr>
        <w:t xml:space="preserve">Review and update the SWMS if needed</w:t>
      </w:r>
    </w:p>
    <w:p>
      <w:pPr>
        <w:pStyle w:val="ListParagraph"/>
        <w:numPr>
          <w:ilvl w:val="0"/>
          <w:numId w:val="3"/>
        </w:numPr>
        <w:spacing w:after="40" w:before="40"/>
      </w:pPr>
      <w:r>
        <w:rPr>
          <w:rFonts w:ascii="Arial" w:cs="Arial" w:eastAsia="Arial" w:hAnsi="Arial"/>
          <w:sz w:val="20"/>
          <w:szCs w:val="20"/>
        </w:rPr>
        <w:t xml:space="preserve">Notify your insurer if the incident may give rise to a claim</w:t>
      </w:r>
    </w:p>
    <w:p>
      <w:pPr>
        <w:spacing w:after="120" w:before="120"/>
      </w:pPr>
      <w:r>
        <w:t xml:space="preserve"/>
      </w:r>
    </w:p>
    <w:p>
      <w:pPr>
        <w:pStyle w:val="Heading2"/>
        <w:spacing w:after="100" w:before="200"/>
      </w:pPr>
      <w:r>
        <w:rPr>
          <w:rFonts w:ascii="Arial" w:cs="Arial" w:eastAsia="Arial" w:hAnsi="Arial"/>
          <w:b/>
          <w:bCs/>
          <w:color w:val="3A3F47"/>
          <w:sz w:val="26"/>
          <w:szCs w:val="26"/>
        </w:rPr>
        <w:t xml:space="preserve">WHS Inspectors</w:t>
      </w:r>
    </w:p>
    <w:p>
      <w:pPr>
        <w:spacing w:after="60" w:before="60"/>
        <w:jc w:val="left"/>
      </w:pPr>
      <w:r>
        <w:rPr>
          <w:rFonts w:ascii="Arial" w:cs="Arial" w:eastAsia="Arial" w:hAnsi="Arial"/>
          <w:b w:val="false"/>
          <w:bCs w:val="false"/>
          <w:i w:val="false"/>
          <w:iCs w:val="false"/>
          <w:color w:val="1A1A1A"/>
          <w:sz w:val="20"/>
          <w:szCs w:val="20"/>
        </w:rPr>
        <w:t xml:space="preserve">If a WHS inspector attends your site, you are legally required to cooperate. They may issue Improvement Notices or Prohibition Notices. Having your WHS Management Plan, SWMS, and site induction records available and up to date is your best protection. A well-documented site with proper procedures in place is rarely the subject of enforcement action.</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PART 6 — KEEPING YOUR DOCUMENTS CURRENT</w:t>
      </w:r>
    </w:p>
    <w:p>
      <w:pPr>
        <w:spacing w:after="60" w:before="60"/>
        <w:jc w:val="left"/>
      </w:pPr>
      <w:r>
        <w:rPr>
          <w:rFonts w:ascii="Arial" w:cs="Arial" w:eastAsia="Arial" w:hAnsi="Arial"/>
          <w:b w:val="false"/>
          <w:bCs w:val="false"/>
          <w:i w:val="false"/>
          <w:iCs w:val="false"/>
          <w:color w:val="1A1A1A"/>
          <w:sz w:val="20"/>
          <w:szCs w:val="20"/>
        </w:rPr>
        <w:t xml:space="preserve">Your documents are only useful if they're current. Follow this simple review schedule: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4000"/>
        <w:gridCol w:w="2526"/>
      </w:tblGrid>
      <w:tr>
        <w:tc>
          <w:tcPr>
            <w:tcW w:type="dxa" w:w="2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Document</w:t>
            </w:r>
          </w:p>
        </w:tc>
        <w:tc>
          <w:tcPr>
            <w:tcW w:type="dxa" w:w="4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Review Trigger</w:t>
            </w:r>
          </w:p>
        </w:tc>
        <w:tc>
          <w:tcPr>
            <w:tcW w:type="dxa" w:w="25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Frequency</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(all)</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each new project, after any incident, if scope changes</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Per project + as needed</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WHS Management Plan</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Project start, after incident, scope change</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Per project</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Site Induction</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New worker on site</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Every new person</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Toolbox Talk</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Start of each shift or new activity</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Daily / per task</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Site Inspection</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Weekly or after weather event</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Weekly minimum</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Subcontractor Preqal</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engagement, annually for ongoing subbies</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Per engagement</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Subcontractor Agreement</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Before each new engagement</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Per engagement</w:t>
            </w:r>
          </w:p>
        </w:tc>
      </w:tr>
      <w:tr>
        <w:tc>
          <w:tcPr>
            <w:tcW w:type="dxa" w:w="2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Insurance certificates</w:t>
            </w:r>
          </w:p>
        </w:tc>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When renewing — update your file</w:t>
            </w:r>
          </w:p>
        </w:tc>
        <w:tc>
          <w:tcPr>
            <w:tcW w:type="dxa" w:w="2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Annually</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DISCLAIMER</w:t>
      </w:r>
    </w:p>
    <w:p>
      <w:pPr>
        <w:spacing w:after="60" w:before="60"/>
        <w:jc w:val="left"/>
      </w:pPr>
      <w:r>
        <w:rPr>
          <w:rFonts w:ascii="Arial" w:cs="Arial" w:eastAsia="Arial" w:hAnsi="Arial"/>
          <w:b w:val="false"/>
          <w:bCs w:val="false"/>
          <w:i/>
          <w:iCs/>
          <w:color w:val="888888"/>
          <w:sz w:val="18"/>
          <w:szCs w:val="18"/>
        </w:rPr>
        <w:t xml:space="preserve">This guide and the documents in the G5 Online Aussie Builder Compliance Pack are professional templates designed to assist Australian residential builders with WHS compliance. They are based on the nationally harmonised Work Health and Safety Act 2011 and its regulations. They do not constitute legal advice. Legislation and codes of practice may be updated — users are responsible for ensuring their documents remain current with applicable law in their Queensland. For complex projects or specific legal questions, consult a qualified WHS professional or solicitor.</w:t>
      </w:r>
    </w:p>
    <w:sectPr>
      <w:headerReference w:type="default" r:id="rId7"/>
      <w:footerReference w:type="default" r:id="rId8"/>
      <w:pgSz w:w="11906" w:h="16838" w:orient="portrait"/>
      <w:pgMar w:top="1000" w:right="1000" w:bottom="12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4" w:space="4"/>
      </w:pBdr>
    </w:pPr>
    <w:r>
      <w:rPr>
        <w:rFonts w:ascii="Arial" w:cs="Arial" w:eastAsia="Arial" w:hAnsi="Arial"/>
        <w:color w:val="3A3F47"/>
        <w:sz w:val="16"/>
        <w:szCs w:val="16"/>
      </w:rPr>
      <w:t xml:space="preserve">Document: G5-GDE-021  |  Version: 1.0  |  Issue Date: May 2026  |  Next Review: May 2027  |  Page </w:t>
    </w:r>
    <w:r>
      <w:rPr>
        <w:rFonts w:ascii="Arial" w:cs="Arial" w:eastAsia="Arial" w:hAnsi="Arial"/>
        <w:color w:val="3A3F47"/>
        <w:sz w:val="16"/>
        <w:szCs w:val="16"/>
      </w:rPr>
      <w:fldChar w:fldCharType="begin"/>
      <w:instrText xml:space="preserve">PAGE</w:instrText>
      <w:fldChar w:fldCharType="separate"/>
      <w:fldChar w:fldCharType="end"/>
    </w:r>
    <w:r>
      <w:rPr>
        <w:rFonts w:ascii="Arial" w:cs="Arial" w:eastAsia="Arial" w:hAnsi="Arial"/>
        <w:color w:val="3A3F47"/>
        <w:sz w:val="16"/>
        <w:szCs w:val="16"/>
      </w:rPr>
      <w:t xml:space="preserve"> of </w:t>
    </w:r>
    <w:r>
      <w:rPr>
        <w:rFonts w:ascii="Arial" w:cs="Arial" w:eastAsia="Arial" w:hAnsi="Arial"/>
        <w:color w:val="3A3F47"/>
        <w:sz w:val="16"/>
        <w:szCs w:val="16"/>
      </w:rPr>
      <w:fldChar w:fldCharType="begin"/>
      <w:instrText xml:space="preserve">NUMPAGES</w:instrText>
      <w:fldChar w:fldCharType="separate"/>
      <w:fldChar w:fldCharType="end"/>
    </w:r>
  </w:p>
  <w:p>
    <w:pPr>
      <w:spacing w:before="40"/>
    </w:pPr>
    <w:r>
      <w:rPr>
        <w:rFonts w:ascii="Arial" w:cs="Arial" w:eastAsia="Arial" w:hAnsi="Arial"/>
        <w:i/>
        <w:iCs/>
        <w:color w:val="888888"/>
        <w:sz w:val="14"/>
        <w:szCs w:val="14"/>
      </w:rPr>
      <w:t xml:space="preserve">DISCLAIMER: These are professional templates. They do not constitute legal advice. Users are responsible for ensuring documents meet applicable WHS legislation in their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026"/>
      <w:tblBorders>
        <w:top w:val="none" w:color="FFFFFF" w:sz="0"/>
        <w:left w:val="none" w:color="FFFFFF" w:sz="0"/>
        <w:bottom w:val="single" w:color="F26B1D" w:sz="12"/>
        <w:right w:val="none" w:color="FFFFFF" w:sz="0"/>
        <w:insideH w:val="single" w:color="auto" w:sz="4"/>
        <w:insideV w:val="single" w:color="auto" w:sz="4"/>
      </w:tblBorders>
    </w:tblPr>
    <w:tblGrid>
      <w:gridCol w:w="6026"/>
      <w:gridCol w:w="3000"/>
    </w:tblGrid>
    <w:tr>
      <w:tc>
        <w:tcPr>
          <w:tcW w:type="dxa" w:w="6026"/>
          <w:tcBorders>
            <w:top w:val="none" w:color="FFFFFF" w:sz="0"/>
            <w:left w:val="none" w:color="FFFFFF" w:sz="0"/>
            <w:bottom w:val="none" w:color="FFFFFF" w:sz="0"/>
            <w:right w:val="none" w:color="FFFFFF" w:sz="0"/>
          </w:tcBorders>
          <w:tcMar>
            <w:top w:type="dxa" w:w="40"/>
            <w:left w:type="dxa" w:w="0"/>
            <w:bottom w:type="dxa" w:w="80"/>
            <w:right w:type="dxa" w:w="0"/>
          </w:tcMar>
        </w:tcPr>
        <w:p>
          <w:r>
            <w:rPr>
              <w:rFonts w:ascii="Arial" w:cs="Arial" w:eastAsia="Arial" w:hAnsi="Arial"/>
              <w:b/>
              <w:bCs/>
              <w:color w:val="F26B1D"/>
              <w:sz w:val="22"/>
              <w:szCs w:val="22"/>
            </w:rPr>
            <w:t xml:space="preserve">G5 ONLINE</w:t>
          </w:r>
        </w:p>
        <w:p>
          <w:r>
            <w:rPr>
              <w:rFonts w:ascii="Arial" w:cs="Arial" w:eastAsia="Arial" w:hAnsi="Arial"/>
              <w:color w:val="3A3F47"/>
              <w:sz w:val="18"/>
              <w:szCs w:val="18"/>
            </w:rPr>
            <w:t xml:space="preserve">How to Run a Compliant Residential Build Site</w:t>
          </w:r>
        </w:p>
      </w:tc>
      <w:tc>
        <w:tcPr>
          <w:tcW w:type="dxa" w:w="3000"/>
          <w:tcBorders>
            <w:top w:val="none" w:color="FFFFFF" w:sz="0"/>
            <w:left w:val="none" w:color="FFFFFF" w:sz="0"/>
            <w:bottom w:val="none" w:color="FFFFFF" w:sz="0"/>
            <w:right w:val="none" w:color="FFFFFF" w:sz="0"/>
          </w:tcBorders>
          <w:tcMar>
            <w:top w:type="dxa" w:w="40"/>
            <w:left w:type="dxa" w:w="0"/>
            <w:bottom w:type="dxa" w:w="80"/>
            <w:right w:type="dxa" w:w="0"/>
          </w:tcMar>
        </w:tcPr>
        <w:p>
          <w:pPr>
            <w:jc w:val="right"/>
          </w:pPr>
          <w:r>
            <w:rPr>
              <w:rFonts w:ascii="Arial" w:cs="Arial" w:eastAsia="Arial" w:hAnsi="Arial"/>
              <w:i/>
              <w:iCs/>
              <w:color w:val="3A3F47"/>
              <w:sz w:val="16"/>
              <w:szCs w:val="16"/>
            </w:rPr>
            <w:t xml:space="preserve">www.g5online.com.au</w:t>
          </w:r>
        </w:p>
        <w:p>
          <w:pPr>
            <w:jc w:val="right"/>
          </w:pPr>
          <w:r>
            <w:rPr>
              <w:rFonts w:ascii="Arial" w:cs="Arial" w:eastAsia="Arial" w:hAnsi="Arial"/>
              <w:color w:val="3A3F47"/>
              <w:sz w:val="16"/>
              <w:szCs w:val="16"/>
            </w:rPr>
            <w:t xml:space="preserve">© 2026 G5 Online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A1A1A"/>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3A3F4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2026-05-18T11:25:14.004Z</dcterms:created>
  <dcterms:modified xsi:type="dcterms:W3CDTF">2026-05-18T11:25:14.004Z</dcterms:modified>
</cp:coreProperties>
</file>

<file path=docProps/custom.xml><?xml version="1.0" encoding="utf-8"?>
<Properties xmlns="http://schemas.openxmlformats.org/officeDocument/2006/custom-properties" xmlns:vt="http://schemas.openxmlformats.org/officeDocument/2006/docPropsVTypes"/>
</file>